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ZK2 2021 60 vom 19. Juli 2022</w:t>
      </w:r>
    </w:p>
    <w:p>
      <w:r>
        <w:t>SZ Gerichte, 2022-07-19, DE</w:t>
      </w:r>
    </w:p>
    <w:p>
      <w:r>
        <w:rPr>
          <w:b/>
        </w:rPr>
        <w:t xml:space="preserve">Quelle: </w:t>
      </w:r>
      <w:r>
        <w:t>https://mcp.opencaselaw.ch/entscheid/sz_gerichte_ZK2 2021 60</w:t>
      </w:r>
    </w:p>
    <w:p>
      <w:r>
        <w:t>FR: SZ_GERICHTE ZK2 2021 60 du 19 juillet 2022</w:t>
      </w:r>
    </w:p>
    <w:p>
      <w:r>
        <w:t>IT: SZ_GERICHTE ZK2 2021 60 del 19 luglio 2022</w:t>
      </w:r>
    </w:p>
    <w:p>
      <w:pPr>
        <w:pStyle w:val="Heading2"/>
      </w:pPr>
      <w:r>
        <w:t>Regeste</w:t>
      </w:r>
    </w:p>
    <w:p>
      <w:r>
        <w:t>Testamentseröffnung | Erbrecht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C.________, Berufungsgegner, vertreten durch Rechtsanwalt D.________,</w:t>
      </w:r>
    </w:p>
    <w:p>
      <w:r>
        <w:rPr>
          <w:b/>
        </w:rPr>
        <w:t>E. 2</w:t>
      </w:r>
    </w:p>
    <w:p>
      <w:r>
        <w:t>E.________, Berufungsgegner, betreffend Testamentseröffnung und Erbausschlagung (Berufungen gegen zwei Verfügungen der Einzelrichterin am Bezirksgericht March vom 28. September 2021, ZET 2021 361 und 363);- hat der Kantonsgerichtsvizepräsident,</w:t>
      </w:r>
    </w:p>
    <w:p>
      <w:r>
        <w:t>Kantonsgericht Schwyz 2 nachdem sich ergeben und in Erwägung: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